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612B" w:rsidRPr="00815819" w:rsidRDefault="00097FAF">
      <w:pPr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815819">
        <w:rPr>
          <w:rFonts w:ascii="Verdana" w:hAnsi="Verdana"/>
          <w:b/>
          <w:sz w:val="20"/>
          <w:szCs w:val="20"/>
          <w:lang w:val="en-US"/>
        </w:rPr>
        <w:t>Lewisham</w:t>
      </w:r>
      <w:proofErr w:type="spellEnd"/>
      <w:r w:rsidRPr="00815819">
        <w:rPr>
          <w:rFonts w:ascii="Verdana" w:hAnsi="Verdana"/>
          <w:b/>
          <w:sz w:val="20"/>
          <w:szCs w:val="20"/>
          <w:lang w:val="en-US"/>
        </w:rPr>
        <w:t xml:space="preserve"> Plus Credit Union</w:t>
      </w:r>
    </w:p>
    <w:p w:rsidR="00097FAF" w:rsidRPr="00815819" w:rsidRDefault="00097FAF">
      <w:pPr>
        <w:rPr>
          <w:rFonts w:ascii="Verdana" w:hAnsi="Verdana"/>
          <w:sz w:val="20"/>
          <w:szCs w:val="20"/>
          <w:lang w:val="en-US"/>
        </w:rPr>
      </w:pPr>
    </w:p>
    <w:p w:rsidR="00097FAF" w:rsidRPr="00815819" w:rsidRDefault="00097FAF">
      <w:pPr>
        <w:rPr>
          <w:rFonts w:ascii="Verdana" w:hAnsi="Verdana"/>
          <w:sz w:val="20"/>
          <w:szCs w:val="20"/>
          <w:lang w:val="en-US"/>
        </w:rPr>
      </w:pPr>
      <w:r w:rsidRPr="00815819">
        <w:rPr>
          <w:rFonts w:ascii="Verdana" w:hAnsi="Verdana"/>
          <w:sz w:val="20"/>
          <w:szCs w:val="20"/>
          <w:lang w:val="en-US"/>
        </w:rPr>
        <w:t>Explanatory Notes for proposed amendments to the Rules of the Credit Union at the Annual General Meeting on 13 March 2024</w:t>
      </w:r>
    </w:p>
    <w:p w:rsidR="00097FAF" w:rsidRPr="00815819" w:rsidRDefault="00097FAF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8299"/>
      </w:tblGrid>
      <w:tr w:rsidR="00097FAF" w:rsidRPr="00815819" w:rsidTr="00AE1977">
        <w:tc>
          <w:tcPr>
            <w:tcW w:w="717" w:type="dxa"/>
          </w:tcPr>
          <w:p w:rsidR="00097FAF" w:rsidRPr="00815819" w:rsidRDefault="00097FA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15819">
              <w:rPr>
                <w:rFonts w:ascii="Verdana" w:hAnsi="Verdana"/>
                <w:b/>
                <w:sz w:val="20"/>
                <w:szCs w:val="20"/>
                <w:lang w:val="en-US"/>
              </w:rPr>
              <w:t>Rule</w:t>
            </w:r>
          </w:p>
        </w:tc>
        <w:tc>
          <w:tcPr>
            <w:tcW w:w="8299" w:type="dxa"/>
          </w:tcPr>
          <w:p w:rsidR="00097FAF" w:rsidRPr="00815819" w:rsidRDefault="00097FA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815819">
              <w:rPr>
                <w:rFonts w:ascii="Verdana" w:hAnsi="Verdana"/>
                <w:b/>
                <w:sz w:val="20"/>
                <w:szCs w:val="20"/>
                <w:lang w:val="en-US"/>
              </w:rPr>
              <w:t>Proposed Change</w:t>
            </w:r>
          </w:p>
        </w:tc>
      </w:tr>
      <w:tr w:rsidR="00097FAF" w:rsidRPr="00815819" w:rsidTr="00AE1977">
        <w:tc>
          <w:tcPr>
            <w:tcW w:w="717" w:type="dxa"/>
          </w:tcPr>
          <w:p w:rsidR="00097FAF" w:rsidRPr="00815819" w:rsidRDefault="00097FA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15819"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8299" w:type="dxa"/>
          </w:tcPr>
          <w:p w:rsidR="00097FAF" w:rsidRPr="00815819" w:rsidRDefault="00097FA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15819">
              <w:rPr>
                <w:rFonts w:ascii="Verdana" w:hAnsi="Verdana"/>
                <w:sz w:val="20"/>
                <w:szCs w:val="20"/>
                <w:lang w:val="en-US"/>
              </w:rPr>
              <w:t>Add a new 3(e) to allow the Credit Union to carry on the following additional activities in the future:</w:t>
            </w:r>
          </w:p>
          <w:p w:rsidR="00097FAF" w:rsidRDefault="007E48D2" w:rsidP="00097FA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Entering into conditional sale agreements (as seller)</w:t>
            </w:r>
          </w:p>
          <w:p w:rsidR="007E48D2" w:rsidRDefault="007E48D2" w:rsidP="00097FA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Entering into hire purchase agreement (as the person who provides the good on the terms of the hire purchase agreement)</w:t>
            </w:r>
          </w:p>
          <w:p w:rsidR="00097FAF" w:rsidRPr="007E48D2" w:rsidRDefault="007E48D2" w:rsidP="00B24B9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7E48D2">
              <w:rPr>
                <w:rFonts w:ascii="Verdana" w:hAnsi="Verdana"/>
                <w:sz w:val="20"/>
                <w:szCs w:val="20"/>
                <w:lang w:val="en-US"/>
              </w:rPr>
              <w:t>Carrying on insu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rance distribution activities (</w:t>
            </w:r>
            <w:r w:rsidRPr="007E48D2">
              <w:rPr>
                <w:rFonts w:ascii="Verdana" w:hAnsi="Verdana"/>
                <w:sz w:val="20"/>
                <w:szCs w:val="20"/>
                <w:lang w:val="en-US"/>
              </w:rPr>
              <w:t xml:space="preserve">by offering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appropriate </w:t>
            </w:r>
            <w:r w:rsidRPr="007E48D2">
              <w:rPr>
                <w:rFonts w:ascii="Verdana" w:hAnsi="Verdana"/>
                <w:sz w:val="20"/>
                <w:szCs w:val="20"/>
                <w:lang w:val="en-US"/>
              </w:rPr>
              <w:t xml:space="preserve">products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of insurance companies </w:t>
            </w:r>
            <w:r w:rsidRPr="007E48D2">
              <w:rPr>
                <w:rFonts w:ascii="Verdana" w:hAnsi="Verdana"/>
                <w:sz w:val="20"/>
                <w:szCs w:val="20"/>
                <w:lang w:val="en-US"/>
              </w:rPr>
              <w:t>to members of the Credit Union).</w:t>
            </w:r>
          </w:p>
          <w:p w:rsidR="007E48D2" w:rsidRDefault="00097FAF" w:rsidP="00340A3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15819">
              <w:rPr>
                <w:rFonts w:ascii="Verdana" w:hAnsi="Verdana"/>
                <w:sz w:val="20"/>
                <w:szCs w:val="20"/>
                <w:lang w:val="en-US"/>
              </w:rPr>
              <w:t>This change has been made possible by a recent change in law, allowing a credit union to undertake these activities as long as the members of the relevant credit union</w:t>
            </w:r>
            <w:r w:rsidR="00951847">
              <w:rPr>
                <w:rFonts w:ascii="Verdana" w:hAnsi="Verdana"/>
                <w:sz w:val="20"/>
                <w:szCs w:val="20"/>
                <w:lang w:val="en-US"/>
              </w:rPr>
              <w:t xml:space="preserve"> have approved a rule change and the credit union has obtained the required regulatory permission.</w:t>
            </w:r>
            <w:r w:rsidR="00340A3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097FAF" w:rsidRPr="00815819" w:rsidRDefault="00340A39" w:rsidP="007E48D2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The board of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Lewisham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Plus has not yet decided to undertake these activities, but </w:t>
            </w:r>
            <w:r w:rsidR="007E48D2">
              <w:rPr>
                <w:rFonts w:ascii="Verdana" w:hAnsi="Verdana"/>
                <w:sz w:val="20"/>
                <w:szCs w:val="20"/>
                <w:lang w:val="en-US"/>
              </w:rPr>
              <w:t xml:space="preserve">is asking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the AGM to change the Rules </w:t>
            </w:r>
            <w:r w:rsidR="007E48D2">
              <w:rPr>
                <w:rFonts w:ascii="Verdana" w:hAnsi="Verdana"/>
                <w:sz w:val="20"/>
                <w:szCs w:val="20"/>
                <w:lang w:val="en-US"/>
              </w:rPr>
              <w:t>to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7E48D2">
              <w:rPr>
                <w:rFonts w:ascii="Verdana" w:hAnsi="Verdana"/>
                <w:sz w:val="20"/>
                <w:szCs w:val="20"/>
                <w:lang w:val="en-US"/>
              </w:rPr>
              <w:t>enable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the Credit Union to do so if the board decides in the future that it would be advantageous for the Credit Union.</w:t>
            </w:r>
          </w:p>
        </w:tc>
      </w:tr>
      <w:tr w:rsidR="00C54BE0" w:rsidRPr="00815819" w:rsidTr="00AE1977">
        <w:tc>
          <w:tcPr>
            <w:tcW w:w="717" w:type="dxa"/>
          </w:tcPr>
          <w:p w:rsidR="00C54BE0" w:rsidRPr="00815819" w:rsidRDefault="00C54BE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7.</w:t>
            </w:r>
          </w:p>
        </w:tc>
        <w:tc>
          <w:tcPr>
            <w:tcW w:w="8299" w:type="dxa"/>
          </w:tcPr>
          <w:p w:rsidR="00C54BE0" w:rsidRPr="00815819" w:rsidRDefault="00C54BE0" w:rsidP="00C54BE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Amend 7(f) to allow any person who a member of the same household as an existing member can join the Credit Union (whether or not they are a relative of the existing member).</w:t>
            </w:r>
          </w:p>
        </w:tc>
      </w:tr>
      <w:tr w:rsidR="00A310A8" w:rsidRPr="00815819" w:rsidTr="00AE1977">
        <w:tc>
          <w:tcPr>
            <w:tcW w:w="717" w:type="dxa"/>
          </w:tcPr>
          <w:p w:rsidR="00A310A8" w:rsidRDefault="00A310A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13</w:t>
            </w:r>
          </w:p>
        </w:tc>
        <w:tc>
          <w:tcPr>
            <w:tcW w:w="8299" w:type="dxa"/>
          </w:tcPr>
          <w:p w:rsidR="00A310A8" w:rsidRDefault="00A310A8" w:rsidP="00A310A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Amend to clarify that a junior saver must provide appropriate proof of identity. </w:t>
            </w:r>
          </w:p>
        </w:tc>
      </w:tr>
      <w:tr w:rsidR="00C54BE0" w:rsidRPr="00815819" w:rsidTr="00AE1977">
        <w:tc>
          <w:tcPr>
            <w:tcW w:w="717" w:type="dxa"/>
          </w:tcPr>
          <w:p w:rsidR="00C54BE0" w:rsidRDefault="00C54BE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14.</w:t>
            </w:r>
          </w:p>
        </w:tc>
        <w:tc>
          <w:tcPr>
            <w:tcW w:w="8299" w:type="dxa"/>
          </w:tcPr>
          <w:p w:rsidR="00C54BE0" w:rsidRDefault="00C54BE0" w:rsidP="00C54BE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Clarify that the proviso applies </w:t>
            </w:r>
            <w:r w:rsidRPr="00A310A8">
              <w:rPr>
                <w:rFonts w:ascii="Verdana" w:hAnsi="Verdana"/>
                <w:sz w:val="20"/>
                <w:szCs w:val="20"/>
                <w:lang w:val="en-US"/>
              </w:rPr>
              <w:t>o</w:t>
            </w:r>
            <w:r w:rsidR="00A310A8" w:rsidRPr="00A310A8">
              <w:rPr>
                <w:rFonts w:ascii="Verdana" w:hAnsi="Verdana"/>
                <w:sz w:val="20"/>
                <w:szCs w:val="20"/>
                <w:lang w:val="en-US"/>
              </w:rPr>
              <w:t xml:space="preserve">nly when the junior saver has </w:t>
            </w:r>
            <w:r w:rsidR="00A310A8" w:rsidRPr="00A310A8">
              <w:rPr>
                <w:rFonts w:ascii="Verdana" w:hAnsi="Verdana"/>
                <w:sz w:val="20"/>
                <w:szCs w:val="20"/>
              </w:rPr>
              <w:t>a deposit in a child trust fund account or a junior ISA with the Credit Union</w:t>
            </w:r>
            <w:r w:rsidR="00A310A8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310A8" w:rsidRPr="00815819" w:rsidTr="00AE1977">
        <w:tc>
          <w:tcPr>
            <w:tcW w:w="717" w:type="dxa"/>
          </w:tcPr>
          <w:p w:rsidR="00A310A8" w:rsidRDefault="00A310A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16.</w:t>
            </w:r>
          </w:p>
        </w:tc>
        <w:tc>
          <w:tcPr>
            <w:tcW w:w="8299" w:type="dxa"/>
          </w:tcPr>
          <w:p w:rsidR="00A310A8" w:rsidRDefault="00A310A8" w:rsidP="00C54BE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Remove the reference to paying the entrance fee because this is already covered by Rule 17(c).</w:t>
            </w:r>
          </w:p>
        </w:tc>
      </w:tr>
      <w:tr w:rsidR="000C1747" w:rsidRPr="00815819" w:rsidTr="00AE1977">
        <w:tc>
          <w:tcPr>
            <w:tcW w:w="717" w:type="dxa"/>
          </w:tcPr>
          <w:p w:rsidR="000C1747" w:rsidRDefault="000C174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23.</w:t>
            </w:r>
          </w:p>
        </w:tc>
        <w:tc>
          <w:tcPr>
            <w:tcW w:w="8299" w:type="dxa"/>
          </w:tcPr>
          <w:p w:rsidR="000C1747" w:rsidRDefault="000C1747" w:rsidP="00C54BE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Clarify that any Member who has been suspended must still comply with the terms of any loan to them from the Credit Union.</w:t>
            </w:r>
          </w:p>
        </w:tc>
      </w:tr>
      <w:tr w:rsidR="00711A83" w:rsidRPr="00815819" w:rsidTr="00AE1977">
        <w:tc>
          <w:tcPr>
            <w:tcW w:w="717" w:type="dxa"/>
          </w:tcPr>
          <w:p w:rsidR="00711A83" w:rsidRDefault="00711A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54.</w:t>
            </w:r>
          </w:p>
        </w:tc>
        <w:tc>
          <w:tcPr>
            <w:tcW w:w="8299" w:type="dxa"/>
          </w:tcPr>
          <w:p w:rsidR="00711A83" w:rsidRDefault="00711A83" w:rsidP="00C54BE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Amend to clarify that the insurer may impose age limits as well as financial limits.</w:t>
            </w:r>
          </w:p>
        </w:tc>
      </w:tr>
      <w:tr w:rsidR="00711A83" w:rsidRPr="00815819" w:rsidTr="00AE1977">
        <w:tc>
          <w:tcPr>
            <w:tcW w:w="717" w:type="dxa"/>
          </w:tcPr>
          <w:p w:rsidR="00711A83" w:rsidRDefault="00711A8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66.</w:t>
            </w:r>
          </w:p>
        </w:tc>
        <w:tc>
          <w:tcPr>
            <w:tcW w:w="8299" w:type="dxa"/>
          </w:tcPr>
          <w:p w:rsidR="00711A83" w:rsidRDefault="00711A83" w:rsidP="00C54BE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Amend to be consistent with Rule 54.</w:t>
            </w:r>
          </w:p>
        </w:tc>
      </w:tr>
      <w:tr w:rsidR="006C23A5" w:rsidRPr="00815819" w:rsidTr="00AE1977">
        <w:tc>
          <w:tcPr>
            <w:tcW w:w="717" w:type="dxa"/>
          </w:tcPr>
          <w:p w:rsidR="006C23A5" w:rsidRDefault="006C23A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80.</w:t>
            </w:r>
          </w:p>
        </w:tc>
        <w:tc>
          <w:tcPr>
            <w:tcW w:w="8299" w:type="dxa"/>
          </w:tcPr>
          <w:p w:rsidR="006C23A5" w:rsidRDefault="006C23A5" w:rsidP="00C54BE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Amend to refer to election of Officers rather than the Board of Directors, as the revised wording will be more accurate.</w:t>
            </w:r>
          </w:p>
        </w:tc>
      </w:tr>
      <w:tr w:rsidR="00097FAF" w:rsidRPr="00815819" w:rsidTr="00AE1977">
        <w:tc>
          <w:tcPr>
            <w:tcW w:w="717" w:type="dxa"/>
          </w:tcPr>
          <w:p w:rsidR="00097FAF" w:rsidRPr="00815819" w:rsidRDefault="00097FA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15819">
              <w:rPr>
                <w:rFonts w:ascii="Verdana" w:hAnsi="Verdana"/>
                <w:sz w:val="20"/>
                <w:szCs w:val="20"/>
                <w:lang w:val="en-US"/>
              </w:rPr>
              <w:t>81.</w:t>
            </w:r>
          </w:p>
        </w:tc>
        <w:tc>
          <w:tcPr>
            <w:tcW w:w="8299" w:type="dxa"/>
          </w:tcPr>
          <w:p w:rsidR="00097FAF" w:rsidRPr="00815819" w:rsidRDefault="00097FA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15819">
              <w:rPr>
                <w:rFonts w:ascii="Verdana" w:hAnsi="Verdana"/>
                <w:sz w:val="20"/>
                <w:szCs w:val="20"/>
                <w:lang w:val="en-US"/>
              </w:rPr>
              <w:t xml:space="preserve">Amend this Rule to allow </w:t>
            </w:r>
            <w:r w:rsidR="00340A39">
              <w:rPr>
                <w:rFonts w:ascii="Verdana" w:hAnsi="Verdana"/>
                <w:sz w:val="20"/>
                <w:szCs w:val="20"/>
                <w:lang w:val="en-US"/>
              </w:rPr>
              <w:t>notice of</w:t>
            </w:r>
            <w:r w:rsidR="00071255" w:rsidRPr="00815819">
              <w:rPr>
                <w:rFonts w:ascii="Verdana" w:hAnsi="Verdana"/>
                <w:sz w:val="20"/>
                <w:szCs w:val="20"/>
                <w:lang w:val="en-US"/>
              </w:rPr>
              <w:t xml:space="preserve"> member meeting</w:t>
            </w:r>
            <w:r w:rsidR="00340A39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 w:rsidR="00071255" w:rsidRPr="00815819">
              <w:rPr>
                <w:rFonts w:ascii="Verdana" w:hAnsi="Verdana"/>
                <w:sz w:val="20"/>
                <w:szCs w:val="20"/>
                <w:lang w:val="en-US"/>
              </w:rPr>
              <w:t xml:space="preserve"> to be given up to 60 days before </w:t>
            </w:r>
            <w:r w:rsidR="00340A39">
              <w:rPr>
                <w:rFonts w:ascii="Verdana" w:hAnsi="Verdana"/>
                <w:sz w:val="20"/>
                <w:szCs w:val="20"/>
                <w:lang w:val="en-US"/>
              </w:rPr>
              <w:t>the meeting (</w:t>
            </w:r>
            <w:r w:rsidR="00071255" w:rsidRPr="00815819">
              <w:rPr>
                <w:rFonts w:ascii="Verdana" w:hAnsi="Verdana"/>
                <w:sz w:val="20"/>
                <w:szCs w:val="20"/>
                <w:lang w:val="en-US"/>
              </w:rPr>
              <w:t>rather than 30 days</w:t>
            </w:r>
            <w:r w:rsidR="00340A39">
              <w:rPr>
                <w:rFonts w:ascii="Verdana" w:hAnsi="Verdana"/>
                <w:sz w:val="20"/>
                <w:szCs w:val="20"/>
                <w:lang w:val="en-US"/>
              </w:rPr>
              <w:t xml:space="preserve"> before)</w:t>
            </w:r>
            <w:r w:rsidR="00071255" w:rsidRPr="00815819">
              <w:rPr>
                <w:rFonts w:ascii="Verdana" w:hAnsi="Verdana"/>
                <w:sz w:val="20"/>
                <w:szCs w:val="20"/>
                <w:lang w:val="en-US"/>
              </w:rPr>
              <w:t>. This will provide extra flexibility and simplify the preparation and dispatch of notices and member newsletters.</w:t>
            </w:r>
          </w:p>
        </w:tc>
      </w:tr>
      <w:tr w:rsidR="00097FAF" w:rsidRPr="00815819" w:rsidTr="00AE1977">
        <w:tc>
          <w:tcPr>
            <w:tcW w:w="717" w:type="dxa"/>
          </w:tcPr>
          <w:p w:rsidR="00097FAF" w:rsidRPr="00815819" w:rsidRDefault="00097FA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15819">
              <w:rPr>
                <w:rFonts w:ascii="Verdana" w:hAnsi="Verdana"/>
                <w:sz w:val="20"/>
                <w:szCs w:val="20"/>
                <w:lang w:val="en-US"/>
              </w:rPr>
              <w:t>82.</w:t>
            </w:r>
          </w:p>
        </w:tc>
        <w:tc>
          <w:tcPr>
            <w:tcW w:w="8299" w:type="dxa"/>
          </w:tcPr>
          <w:p w:rsidR="00097FAF" w:rsidRPr="00815819" w:rsidRDefault="00D9237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15819">
              <w:rPr>
                <w:rFonts w:ascii="Verdana" w:hAnsi="Verdana"/>
                <w:sz w:val="20"/>
                <w:szCs w:val="20"/>
                <w:lang w:val="en-US"/>
              </w:rPr>
              <w:t>Adjust wording to make clear that this Rule regarding the time of delivery of a notice applies to notices that are sent by email (where permitted) as well as to notices sent by post.</w:t>
            </w:r>
          </w:p>
        </w:tc>
      </w:tr>
      <w:tr w:rsidR="006C23A5" w:rsidRPr="00815819" w:rsidTr="00AE1977">
        <w:tc>
          <w:tcPr>
            <w:tcW w:w="717" w:type="dxa"/>
          </w:tcPr>
          <w:p w:rsidR="006C23A5" w:rsidRPr="00815819" w:rsidRDefault="006C23A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94.</w:t>
            </w:r>
          </w:p>
        </w:tc>
        <w:tc>
          <w:tcPr>
            <w:tcW w:w="8299" w:type="dxa"/>
          </w:tcPr>
          <w:p w:rsidR="006C23A5" w:rsidRPr="00815819" w:rsidRDefault="006C23A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Amend the wording to be easier to understand without changing the meaning.</w:t>
            </w:r>
          </w:p>
        </w:tc>
      </w:tr>
      <w:tr w:rsidR="00AE1977" w:rsidRPr="00815819" w:rsidTr="00AE1977">
        <w:tc>
          <w:tcPr>
            <w:tcW w:w="717" w:type="dxa"/>
          </w:tcPr>
          <w:p w:rsidR="00AE1977" w:rsidRDefault="00AE1977" w:rsidP="00AE197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101.</w:t>
            </w:r>
          </w:p>
        </w:tc>
        <w:tc>
          <w:tcPr>
            <w:tcW w:w="8299" w:type="dxa"/>
          </w:tcPr>
          <w:p w:rsidR="00AE1977" w:rsidRPr="00815819" w:rsidRDefault="00AE1977" w:rsidP="00AE197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Amend the wording to be easier to understand without changing the meaning.</w:t>
            </w:r>
          </w:p>
        </w:tc>
      </w:tr>
      <w:tr w:rsidR="00AE1977" w:rsidRPr="00815819" w:rsidTr="00AE1977">
        <w:tc>
          <w:tcPr>
            <w:tcW w:w="717" w:type="dxa"/>
          </w:tcPr>
          <w:p w:rsidR="00AE1977" w:rsidRPr="00815819" w:rsidRDefault="00AE1977" w:rsidP="00AE197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15819">
              <w:rPr>
                <w:rFonts w:ascii="Verdana" w:hAnsi="Verdana"/>
                <w:sz w:val="20"/>
                <w:szCs w:val="20"/>
                <w:lang w:val="en-US"/>
              </w:rPr>
              <w:t>107.</w:t>
            </w:r>
          </w:p>
        </w:tc>
        <w:tc>
          <w:tcPr>
            <w:tcW w:w="8299" w:type="dxa"/>
          </w:tcPr>
          <w:p w:rsidR="00AE1977" w:rsidRPr="00815819" w:rsidRDefault="00AE1977" w:rsidP="00AE197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815819">
              <w:rPr>
                <w:rFonts w:ascii="Verdana" w:hAnsi="Verdana"/>
                <w:sz w:val="20"/>
                <w:szCs w:val="20"/>
                <w:lang w:val="en-US"/>
              </w:rPr>
              <w:t>Change to increase the maximum number of directors from 12 to 13, in order to provide the ability to expand the board and attract additional skills.</w:t>
            </w:r>
          </w:p>
        </w:tc>
      </w:tr>
      <w:tr w:rsidR="00320344" w:rsidRPr="00815819" w:rsidTr="00AE1977">
        <w:tc>
          <w:tcPr>
            <w:tcW w:w="717" w:type="dxa"/>
          </w:tcPr>
          <w:p w:rsidR="00320344" w:rsidRPr="00815819" w:rsidRDefault="00320344" w:rsidP="00AE197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122.</w:t>
            </w:r>
          </w:p>
        </w:tc>
        <w:tc>
          <w:tcPr>
            <w:tcW w:w="8299" w:type="dxa"/>
          </w:tcPr>
          <w:p w:rsidR="00320344" w:rsidRPr="00815819" w:rsidRDefault="00320344" w:rsidP="0032034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Amend to clarify wording as regards insurance.</w:t>
            </w:r>
          </w:p>
        </w:tc>
      </w:tr>
      <w:tr w:rsidR="00086AD1" w:rsidRPr="00815819" w:rsidTr="00AE1977">
        <w:tc>
          <w:tcPr>
            <w:tcW w:w="717" w:type="dxa"/>
          </w:tcPr>
          <w:p w:rsidR="00086AD1" w:rsidRPr="00815819" w:rsidRDefault="00086AD1" w:rsidP="00AE197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124.</w:t>
            </w:r>
          </w:p>
        </w:tc>
        <w:tc>
          <w:tcPr>
            <w:tcW w:w="8299" w:type="dxa"/>
          </w:tcPr>
          <w:p w:rsidR="00086AD1" w:rsidRPr="00815819" w:rsidRDefault="00086AD1" w:rsidP="00AE1977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Amend to clarify that the board can adopt a policy for the reimbursement of reasonable expenses.</w:t>
            </w:r>
          </w:p>
        </w:tc>
      </w:tr>
    </w:tbl>
    <w:p w:rsidR="00097FAF" w:rsidRPr="00097FAF" w:rsidRDefault="00097FAF">
      <w:pPr>
        <w:rPr>
          <w:lang w:val="en-US"/>
        </w:rPr>
      </w:pPr>
    </w:p>
    <w:sectPr w:rsidR="00097FAF" w:rsidRPr="00097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BBC"/>
    <w:multiLevelType w:val="hybridMultilevel"/>
    <w:tmpl w:val="5860E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349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AF"/>
    <w:rsid w:val="00071255"/>
    <w:rsid w:val="00086AD1"/>
    <w:rsid w:val="00097FAF"/>
    <w:rsid w:val="000C1747"/>
    <w:rsid w:val="001522B0"/>
    <w:rsid w:val="00320344"/>
    <w:rsid w:val="00340A39"/>
    <w:rsid w:val="006C23A5"/>
    <w:rsid w:val="00711A83"/>
    <w:rsid w:val="007E48D2"/>
    <w:rsid w:val="00815819"/>
    <w:rsid w:val="00951847"/>
    <w:rsid w:val="00A0772A"/>
    <w:rsid w:val="00A310A8"/>
    <w:rsid w:val="00AD612B"/>
    <w:rsid w:val="00AE1977"/>
    <w:rsid w:val="00C54BE0"/>
    <w:rsid w:val="00D519E2"/>
    <w:rsid w:val="00D9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8CF67-51E3-4603-9861-430A455B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Hearnden</dc:creator>
  <cp:keywords/>
  <dc:description/>
  <cp:lastModifiedBy>mark plummer</cp:lastModifiedBy>
  <cp:revision>2</cp:revision>
  <dcterms:created xsi:type="dcterms:W3CDTF">2024-02-18T16:45:00Z</dcterms:created>
  <dcterms:modified xsi:type="dcterms:W3CDTF">2024-02-18T16:45:00Z</dcterms:modified>
</cp:coreProperties>
</file>